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7956" w14:textId="77777777" w:rsidR="009810F7" w:rsidRDefault="009810F7" w:rsidP="009810F7">
      <w:pPr>
        <w:pStyle w:val="Overskrift1"/>
      </w:pPr>
      <w:r>
        <w:t>Viden i spil med Idrættens Analyseinstitut - arbejdsspørgsmål</w:t>
      </w:r>
    </w:p>
    <w:p w14:paraId="23678D85" w14:textId="77777777" w:rsidR="009810F7" w:rsidRDefault="009810F7" w:rsidP="009810F7"/>
    <w:p w14:paraId="56ACE069" w14:textId="23E4AE19" w:rsidR="009810F7" w:rsidRDefault="009810F7" w:rsidP="009810F7">
      <w:pPr>
        <w:pStyle w:val="Overskrift2"/>
      </w:pPr>
      <w:r w:rsidRPr="00D36B32">
        <w:t>Danskernes motions- og sportsvaner</w:t>
      </w:r>
      <w:r>
        <w:t>: Trivsel (4:5)</w:t>
      </w:r>
    </w:p>
    <w:p w14:paraId="59930666" w14:textId="139B5787" w:rsidR="00667418" w:rsidRDefault="00667418" w:rsidP="00667418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67418">
        <w:rPr>
          <w:rFonts w:asciiTheme="minorHAnsi" w:eastAsiaTheme="minorHAnsi" w:hAnsiTheme="minorHAnsi" w:cstheme="minorBidi"/>
          <w:color w:val="auto"/>
          <w:sz w:val="22"/>
          <w:szCs w:val="22"/>
        </w:rPr>
        <w:t>For første gang har Idrættens Analyseinstitut undersøgt, hvad trivsel, mentalt helbred, ensomhed og selvværd betyder for vores idrætsvaner. Cecilie Hedegaard Bak har inviteret Steffen Rask, senioranalytiker i Idrættens Analyseinstitut, i studiet, og sammen dykker de ned i undersøgelsen af danskernes motions- og sportsvaner og ser blandt andet nærmere på, om der er nogle idrætsmiljøer, der i højere grad tiltrækker danskere, der ikke trives godt.</w:t>
      </w:r>
    </w:p>
    <w:p w14:paraId="5A2CBBFE" w14:textId="77777777" w:rsidR="00667418" w:rsidRPr="00667418" w:rsidRDefault="00667418" w:rsidP="00667418"/>
    <w:p w14:paraId="786961F9" w14:textId="77777777" w:rsidR="00667418" w:rsidRPr="00667418" w:rsidRDefault="00667418" w:rsidP="00667418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67418">
        <w:rPr>
          <w:rFonts w:asciiTheme="minorHAnsi" w:eastAsiaTheme="minorHAnsi" w:hAnsiTheme="minorHAnsi" w:cstheme="minorBidi"/>
          <w:color w:val="auto"/>
          <w:sz w:val="22"/>
          <w:szCs w:val="22"/>
        </w:rPr>
        <w:t>Vi ser også nærmere på, hvilke konsekvenser det kan have i fremtiden, hvis forskellen mellem dem, der trives og ikke trives, forstærkes.</w:t>
      </w:r>
    </w:p>
    <w:p w14:paraId="7DE09560" w14:textId="77777777" w:rsidR="00667418" w:rsidRPr="00667418" w:rsidRDefault="00667418" w:rsidP="00667418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631B2379" w14:textId="77777777" w:rsidR="00667418" w:rsidRDefault="00667418" w:rsidP="00667418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67418">
        <w:rPr>
          <w:rFonts w:asciiTheme="minorHAnsi" w:eastAsiaTheme="minorHAnsi" w:hAnsiTheme="minorHAnsi" w:cstheme="minorBidi"/>
          <w:color w:val="auto"/>
          <w:sz w:val="22"/>
          <w:szCs w:val="22"/>
        </w:rPr>
        <w:t>Dette er del 4 i serien om danskernes motions- og sportsvaner.</w:t>
      </w:r>
    </w:p>
    <w:p w14:paraId="3EE71C85" w14:textId="77777777" w:rsidR="00667418" w:rsidRDefault="00667418" w:rsidP="00667418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779B41B" w14:textId="3D63F627" w:rsidR="009810F7" w:rsidRPr="000A72AF" w:rsidRDefault="009810F7" w:rsidP="00667418">
      <w:pPr>
        <w:pStyle w:val="Overskrift2"/>
      </w:pPr>
      <w:r w:rsidRPr="000A72AF">
        <w:t>Arbejdsspørgsmål:</w:t>
      </w:r>
    </w:p>
    <w:p w14:paraId="0B799DDD" w14:textId="496EA793" w:rsidR="00AA4BEA" w:rsidRDefault="00AA4BEA" w:rsidP="009810F7">
      <w:pPr>
        <w:pStyle w:val="Listeafsnit"/>
        <w:numPr>
          <w:ilvl w:val="0"/>
          <w:numId w:val="1"/>
        </w:numPr>
      </w:pPr>
      <w:r>
        <w:t xml:space="preserve">Sammenlign med udgangspunkt i </w:t>
      </w:r>
      <w:hyperlink r:id="rId8" w:history="1">
        <w:r w:rsidRPr="00AA4BEA">
          <w:rPr>
            <w:rStyle w:val="Hyperlink"/>
          </w:rPr>
          <w:t>Den Nationale Sundhedsprofil</w:t>
        </w:r>
      </w:hyperlink>
      <w:r>
        <w:t xml:space="preserve"> danskernes mentale helbred i 2010 med 2021. </w:t>
      </w:r>
    </w:p>
    <w:p w14:paraId="7A48CFAD" w14:textId="264BC65F" w:rsidR="009810F7" w:rsidRDefault="00D536BD" w:rsidP="009810F7">
      <w:pPr>
        <w:pStyle w:val="Listeafsnit"/>
        <w:numPr>
          <w:ilvl w:val="0"/>
          <w:numId w:val="1"/>
        </w:numPr>
      </w:pPr>
      <w:r>
        <w:t xml:space="preserve">Redegør for sammenhængen mellem trivsel og </w:t>
      </w:r>
      <w:r w:rsidR="00AA4BEA">
        <w:t>idrætsdeltagelse</w:t>
      </w:r>
      <w:r w:rsidR="009810F7">
        <w:t xml:space="preserve"> (se også figur 1)</w:t>
      </w:r>
    </w:p>
    <w:p w14:paraId="1BBE8C88" w14:textId="75A8B5E7" w:rsidR="009810F7" w:rsidRDefault="00D45AD8" w:rsidP="009810F7">
      <w:pPr>
        <w:pStyle w:val="Listeafsnit"/>
        <w:numPr>
          <w:ilvl w:val="0"/>
          <w:numId w:val="1"/>
        </w:numPr>
      </w:pPr>
      <w:r>
        <w:t>Hv</w:t>
      </w:r>
      <w:r w:rsidR="008B67DF">
        <w:t xml:space="preserve">ad betyder </w:t>
      </w:r>
      <w:r>
        <w:t>’socioøkonomiske baggrund’?</w:t>
      </w:r>
    </w:p>
    <w:p w14:paraId="49AF36FC" w14:textId="4C7A434E" w:rsidR="00D45AD8" w:rsidRDefault="00D45AD8" w:rsidP="009810F7">
      <w:pPr>
        <w:pStyle w:val="Listeafsnit"/>
        <w:numPr>
          <w:ilvl w:val="0"/>
          <w:numId w:val="1"/>
        </w:numPr>
      </w:pPr>
      <w:r>
        <w:t xml:space="preserve">Hvilken betydning har </w:t>
      </w:r>
      <w:r w:rsidR="008B67DF">
        <w:t>den</w:t>
      </w:r>
      <w:r>
        <w:t xml:space="preserve"> socioøkonomiske baggrund for idrætsdeltagelsen?</w:t>
      </w:r>
    </w:p>
    <w:p w14:paraId="15FE8639" w14:textId="098790AC" w:rsidR="00D45AD8" w:rsidRDefault="008B67DF" w:rsidP="009810F7">
      <w:pPr>
        <w:pStyle w:val="Listeafsnit"/>
        <w:numPr>
          <w:ilvl w:val="0"/>
          <w:numId w:val="1"/>
        </w:numPr>
      </w:pPr>
      <w:r>
        <w:t>Redegør for ’den dobbelte slagside’, som Steffen Rask refererer til i forhold til trivslen</w:t>
      </w:r>
      <w:r w:rsidR="00AA4BEA">
        <w:t xml:space="preserve"> (se også figur 1)</w:t>
      </w:r>
      <w:r w:rsidR="00F15682">
        <w:t>.</w:t>
      </w:r>
    </w:p>
    <w:p w14:paraId="312E788C" w14:textId="3299F81F" w:rsidR="008B67DF" w:rsidRDefault="008B67DF" w:rsidP="009810F7">
      <w:pPr>
        <w:pStyle w:val="Listeafsnit"/>
        <w:numPr>
          <w:ilvl w:val="0"/>
          <w:numId w:val="1"/>
        </w:numPr>
      </w:pPr>
      <w:r>
        <w:t>Hvordan kan man forklare sammenhængen? Kan I selv genkende sammenhængen?</w:t>
      </w:r>
    </w:p>
    <w:p w14:paraId="5A16B4CB" w14:textId="4F9C44E0" w:rsidR="008B67DF" w:rsidRDefault="008B67DF" w:rsidP="009810F7">
      <w:pPr>
        <w:pStyle w:val="Listeafsnit"/>
        <w:numPr>
          <w:ilvl w:val="0"/>
          <w:numId w:val="1"/>
        </w:numPr>
      </w:pPr>
      <w:r>
        <w:t>Hvilken betydning har trivslen for, hvilke typer idræt danskerne dyrker?</w:t>
      </w:r>
    </w:p>
    <w:p w14:paraId="6F3C0E4F" w14:textId="1CE728CD" w:rsidR="008B67DF" w:rsidRDefault="008B67DF" w:rsidP="009810F7">
      <w:pPr>
        <w:pStyle w:val="Listeafsnit"/>
        <w:numPr>
          <w:ilvl w:val="0"/>
          <w:numId w:val="1"/>
        </w:numPr>
      </w:pPr>
      <w:r>
        <w:t>Hvad betyder det, at der kan komme et mere ’polariseret idrætsbillede’?</w:t>
      </w:r>
    </w:p>
    <w:p w14:paraId="7DA04873" w14:textId="30C5DE91" w:rsidR="00AA4BEA" w:rsidRDefault="008B67DF" w:rsidP="00D47E22">
      <w:pPr>
        <w:pStyle w:val="Listeafsnit"/>
        <w:numPr>
          <w:ilvl w:val="0"/>
          <w:numId w:val="1"/>
        </w:numPr>
      </w:pPr>
      <w:r>
        <w:t>Hvorfor tror I, at sammenhængen mellem trivsel og valg af idrætsaktiviteter ser ud, som den gør?</w:t>
      </w:r>
    </w:p>
    <w:p w14:paraId="565428D1" w14:textId="02E74720" w:rsidR="009810F7" w:rsidRPr="00CB0E5B" w:rsidRDefault="009810F7" w:rsidP="009810F7">
      <w:pPr>
        <w:pStyle w:val="Overskrift2"/>
      </w:pPr>
      <w:r w:rsidRPr="002D4619">
        <w:lastRenderedPageBreak/>
        <w:t>Supplerende materiale:</w:t>
      </w:r>
    </w:p>
    <w:p w14:paraId="3D815BED" w14:textId="4745D569" w:rsidR="009810F7" w:rsidRDefault="009810F7" w:rsidP="009810F7">
      <w:pPr>
        <w:pStyle w:val="Billedtekst"/>
      </w:pPr>
      <w:r>
        <w:t>Figur 1: Sammenhæng mellem børn og unges generelle trivsel og idrætsdeltagelse</w:t>
      </w:r>
    </w:p>
    <w:p w14:paraId="26B07003" w14:textId="6EA20D2E" w:rsidR="009810F7" w:rsidRDefault="009810F7" w:rsidP="009810F7">
      <w:r>
        <w:rPr>
          <w:noProof/>
        </w:rPr>
        <w:drawing>
          <wp:inline distT="0" distB="0" distL="0" distR="0" wp14:anchorId="59C5DF8E" wp14:editId="052355D3">
            <wp:extent cx="5943600" cy="2929890"/>
            <wp:effectExtent l="0" t="0" r="0" b="3810"/>
            <wp:docPr id="44" name="Diagram 44">
              <a:extLst xmlns:a="http://schemas.openxmlformats.org/drawingml/2006/main">
                <a:ext uri="{FF2B5EF4-FFF2-40B4-BE49-F238E27FC236}">
                  <a16:creationId xmlns:a16="http://schemas.microsoft.com/office/drawing/2014/main" id="{CC1AB1C0-5697-289B-FE0E-A29220125E1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E0930C" w14:textId="1AD2458A" w:rsidR="001D70BE" w:rsidRDefault="001D70BE" w:rsidP="009810F7">
      <w:r>
        <w:t xml:space="preserve">Kilde: </w:t>
      </w:r>
      <w:hyperlink r:id="rId10" w:history="1">
        <w:r w:rsidRPr="001D70BE">
          <w:rPr>
            <w:rStyle w:val="Hyperlink"/>
          </w:rPr>
          <w:t>Danskernes motions- og sportsvaner 2020</w:t>
        </w:r>
      </w:hyperlink>
      <w:r>
        <w:t xml:space="preserve">, side 108, 25.10.22 </w:t>
      </w:r>
    </w:p>
    <w:p w14:paraId="6820D8F5" w14:textId="77777777" w:rsidR="00AA4BEA" w:rsidRDefault="00AA4BEA" w:rsidP="009810F7"/>
    <w:p w14:paraId="445C1256" w14:textId="5C8CB7C7" w:rsidR="00AA4BEA" w:rsidRPr="001D70BE" w:rsidRDefault="00AA4BEA" w:rsidP="00AA4BEA">
      <w:pPr>
        <w:rPr>
          <w:b/>
          <w:bCs/>
        </w:rPr>
      </w:pPr>
      <w:r w:rsidRPr="001D70BE">
        <w:rPr>
          <w:b/>
          <w:bCs/>
        </w:rPr>
        <w:t xml:space="preserve">Figur 2: Sammenhæng mellem børn og unges generelle trivsel og organiseringsform (pct.) </w:t>
      </w:r>
    </w:p>
    <w:p w14:paraId="1B383999" w14:textId="77777777" w:rsidR="00AA4BEA" w:rsidRDefault="00AA4BEA" w:rsidP="00AA4BEA">
      <w:r>
        <w:rPr>
          <w:noProof/>
        </w:rPr>
        <w:drawing>
          <wp:inline distT="0" distB="0" distL="0" distR="0" wp14:anchorId="7E8AEBC8" wp14:editId="7A0AFD7B">
            <wp:extent cx="5777346" cy="3239770"/>
            <wp:effectExtent l="0" t="0" r="0" b="0"/>
            <wp:docPr id="192" name="Diagram 192">
              <a:extLst xmlns:a="http://schemas.openxmlformats.org/drawingml/2006/main">
                <a:ext uri="{FF2B5EF4-FFF2-40B4-BE49-F238E27FC236}">
                  <a16:creationId xmlns:a16="http://schemas.microsoft.com/office/drawing/2014/main" id="{AEA8BA9D-4457-4AAE-9950-E91C67C9121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D244B3" w14:textId="666BE01C" w:rsidR="00C04D69" w:rsidRDefault="001D70BE" w:rsidP="00AA4BEA">
      <w:r>
        <w:t xml:space="preserve">Kilde: </w:t>
      </w:r>
      <w:hyperlink r:id="rId12" w:history="1">
        <w:r w:rsidRPr="001D70BE">
          <w:rPr>
            <w:rStyle w:val="Hyperlink"/>
          </w:rPr>
          <w:t>Danskernes motions- og sportsvaner 2020</w:t>
        </w:r>
      </w:hyperlink>
      <w:r>
        <w:t>, side 109, 25.10.22</w:t>
      </w:r>
    </w:p>
    <w:sectPr w:rsidR="00C04D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A6FD6"/>
    <w:multiLevelType w:val="hybridMultilevel"/>
    <w:tmpl w:val="65FCE7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9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NLMwtrA0MDMwMrNU0lEKTi0uzszPAykwrAUAi7JQMywAAAA="/>
  </w:docVars>
  <w:rsids>
    <w:rsidRoot w:val="009810F7"/>
    <w:rsid w:val="000B2257"/>
    <w:rsid w:val="001D70BE"/>
    <w:rsid w:val="00667418"/>
    <w:rsid w:val="008B67DF"/>
    <w:rsid w:val="009810F7"/>
    <w:rsid w:val="009A1009"/>
    <w:rsid w:val="00AA4BEA"/>
    <w:rsid w:val="00C04D69"/>
    <w:rsid w:val="00D45AD8"/>
    <w:rsid w:val="00D536BD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1970"/>
  <w15:chartTrackingRefBased/>
  <w15:docId w15:val="{0D753636-DF48-4A4F-9EEF-547DBF2F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F7"/>
  </w:style>
  <w:style w:type="paragraph" w:styleId="Overskrift1">
    <w:name w:val="heading 1"/>
    <w:basedOn w:val="Normal"/>
    <w:next w:val="Normal"/>
    <w:link w:val="Overskrift1Tegn"/>
    <w:uiPriority w:val="9"/>
    <w:qFormat/>
    <w:rsid w:val="0098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1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10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B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10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9810F7"/>
    <w:pPr>
      <w:ind w:left="720"/>
      <w:contextualSpacing/>
    </w:pPr>
  </w:style>
  <w:style w:type="paragraph" w:styleId="Billedtekst">
    <w:name w:val="caption"/>
    <w:aliases w:val="Figuroverskrift 2"/>
    <w:basedOn w:val="Overskrift5"/>
    <w:next w:val="Normal"/>
    <w:uiPriority w:val="35"/>
    <w:unhideWhenUsed/>
    <w:qFormat/>
    <w:rsid w:val="009810F7"/>
    <w:pPr>
      <w:spacing w:before="0" w:after="120" w:line="276" w:lineRule="auto"/>
    </w:pPr>
    <w:rPr>
      <w:rFonts w:ascii="Calibri" w:hAnsi="Calibri"/>
      <w:b/>
      <w:color w:val="auto"/>
      <w:sz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10F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AA4BE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4BEA"/>
    <w:rPr>
      <w:color w:val="605E5C"/>
      <w:shd w:val="clear" w:color="auto" w:fill="E1DFDD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BE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y.danskernessundhed.dk/SASVisualAnalyticsViewer/VisualAnalyticsViewer_guest.jsp?reportName=Daarligt%20mentalt%20helbred&amp;reportPath=/Produktion/Danskernes_Sundhed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dan.dk/udgivelser/danskernes-motions-og-sportsvaner-202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hyperlink" Target="https://www.idan.dk/udgivelser/danskernes-motions-og-sportsvaner-2020/" TargetMode="External"/><Relationship Id="rId4" Type="http://schemas.openxmlformats.org/officeDocument/2006/relationships/numbering" Target="numbering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idandk.sharepoint.com/sites/IdanDK/Idan%20Dokumenter/Projekter/Igangv&#230;rende%20projekter/2020%20Motions-%20og%20sportsvaner/3.%20Data/Analyser%20b&#248;rn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idandk.sharepoint.com/sites/IdanDK/Idan%20Dokumenter/Projekter/Igangv&#230;rende%20projekter/2020%20Motions-%20og%20sportsvaner/3.%20Data/Analyser%20b&#248;rn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4012744319766575E-2"/>
          <c:y val="0.11953111542073472"/>
          <c:w val="0.82980611755955569"/>
          <c:h val="0.68232708561394539"/>
        </c:manualLayout>
      </c:layout>
      <c:lineChart>
        <c:grouping val="standard"/>
        <c:varyColors val="0"/>
        <c:ser>
          <c:idx val="0"/>
          <c:order val="0"/>
          <c:tx>
            <c:v>Dyrker normalt sport/motion</c:v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Baggrundsvariable!$C$154:$M$154</c:f>
              <c:strCache>
                <c:ptCount val="11"/>
                <c:pt idx="0">
                  <c:v>0 -                      Værst mulige liv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10 -          Bedst mulige liv</c:v>
                </c:pt>
              </c:strCache>
            </c:strRef>
          </c:cat>
          <c:val>
            <c:numRef>
              <c:f>Baggrundsvariable!$C$156:$M$156</c:f>
              <c:numCache>
                <c:formatCode>General</c:formatCode>
                <c:ptCount val="11"/>
                <c:pt idx="3" formatCode="#,##0&quot;&quot;;\-#,##0&quot;&quot;">
                  <c:v>57.032550000000001</c:v>
                </c:pt>
                <c:pt idx="4" formatCode="#,##0&quot;&quot;;\-#,##0&quot;&quot;">
                  <c:v>61.308729999999997</c:v>
                </c:pt>
                <c:pt idx="5" formatCode="#,##0&quot;&quot;;\-#,##0&quot;&quot;">
                  <c:v>63.738529999999997</c:v>
                </c:pt>
                <c:pt idx="6" formatCode="#,##0&quot;&quot;;\-#,##0&quot;&quot;">
                  <c:v>77.289090000000002</c:v>
                </c:pt>
                <c:pt idx="7" formatCode="#,##0&quot;&quot;;\-#,##0&quot;&quot;">
                  <c:v>80.130009999999999</c:v>
                </c:pt>
                <c:pt idx="8" formatCode="#,##0&quot;&quot;;\-#,##0&quot;&quot;">
                  <c:v>82.686459999999997</c:v>
                </c:pt>
                <c:pt idx="9" formatCode="#,##0&quot;&quot;;\-#,##0&quot;&quot;">
                  <c:v>86.452690000000004</c:v>
                </c:pt>
                <c:pt idx="10" formatCode="#,##0&quot;&quot;;\-#,##0&quot;&quot;">
                  <c:v>83.729560000000006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5F-49E6-9E5F-9B3ED65FB53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4820736"/>
        <c:axId val="594818768"/>
      </c:lineChart>
      <c:lineChart>
        <c:grouping val="standard"/>
        <c:varyColors val="0"/>
        <c:ser>
          <c:idx val="2"/>
          <c:order val="1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Baggrundsvariable!$C$154:$M$154</c:f>
              <c:strCache>
                <c:ptCount val="11"/>
                <c:pt idx="0">
                  <c:v>0 -                      Værst mulige liv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10 -          Bedst mulige liv</c:v>
                </c:pt>
              </c:strCache>
            </c:strRef>
          </c:cat>
          <c:val>
            <c:numRef>
              <c:f>Baggrundsvariable!$E$162:$M$162</c:f>
              <c:numCache>
                <c:formatCode>#,##0"";\-#,##0""</c:formatCode>
                <c:ptCount val="9"/>
                <c:pt idx="1">
                  <c:v>67.992609999999999</c:v>
                </c:pt>
                <c:pt idx="2">
                  <c:v>59.668460000000003</c:v>
                </c:pt>
                <c:pt idx="3">
                  <c:v>61.057720000000003</c:v>
                </c:pt>
                <c:pt idx="4">
                  <c:v>75.248840000000001</c:v>
                </c:pt>
                <c:pt idx="5">
                  <c:v>74.834419999999994</c:v>
                </c:pt>
                <c:pt idx="6">
                  <c:v>82.327330000000003</c:v>
                </c:pt>
                <c:pt idx="7">
                  <c:v>82.697469999999996</c:v>
                </c:pt>
                <c:pt idx="8">
                  <c:v>77.235389999999995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5F-49E6-9E5F-9B3ED65FB53D}"/>
            </c:ext>
          </c:extLst>
        </c:ser>
        <c:ser>
          <c:idx val="3"/>
          <c:order val="2"/>
          <c:tx>
            <c:v>Tidsforbrug på sport/motion om ugen (gns.)</c:v>
          </c:tx>
          <c:spPr>
            <a:ln w="28575" cap="rnd">
              <a:solidFill>
                <a:srgbClr val="77A9D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C5F-49E6-9E5F-9B3ED65FB5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C5F-49E6-9E5F-9B3ED65FB5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C5F-49E6-9E5F-9B3ED65FB53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1FE6C1D-9E28-4FFF-9451-EE11DB78CFEA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FC5F-49E6-9E5F-9B3ED65FB53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AD1023EA-3C83-4BA9-8EE2-AE886F8BB3BE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FC5F-49E6-9E5F-9B3ED65FB53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CA9C204-FF80-4CF0-8D48-262A15AE0365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FC5F-49E6-9E5F-9B3ED65FB53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ABF60318-119E-4FA6-BAF7-45924EE7333E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FC5F-49E6-9E5F-9B3ED65FB53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16D95A0-A733-4E26-A999-70E052EA882A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FC5F-49E6-9E5F-9B3ED65FB53D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330FA2A6-7CE2-4E83-9050-F299B1C94091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FC5F-49E6-9E5F-9B3ED65FB53D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D107F4B1-8948-4986-AA4F-FCF4C9D6CD6A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FC5F-49E6-9E5F-9B3ED65FB53D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09B8D3C8-EDE9-4F66-ABE3-CF477232293C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FC5F-49E6-9E5F-9B3ED65FB5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Baggrundsvariable!$C$154:$M$154</c:f>
              <c:strCache>
                <c:ptCount val="11"/>
                <c:pt idx="0">
                  <c:v>0 -                      Værst mulige liv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10 -          Bedst mulige liv</c:v>
                </c:pt>
              </c:strCache>
            </c:strRef>
          </c:cat>
          <c:val>
            <c:numRef>
              <c:f>Baggrundsvariable!$C$170:$M$170</c:f>
              <c:numCache>
                <c:formatCode>General</c:formatCode>
                <c:ptCount val="11"/>
                <c:pt idx="3" formatCode="#,##0.00">
                  <c:v>3.7273619999999998</c:v>
                </c:pt>
                <c:pt idx="4" formatCode="#,##0.00">
                  <c:v>3.6881309999999998</c:v>
                </c:pt>
                <c:pt idx="5" formatCode="#,##0.00">
                  <c:v>3.9116849999999999</c:v>
                </c:pt>
                <c:pt idx="6" formatCode="#,##0.00">
                  <c:v>4.4744450000000002</c:v>
                </c:pt>
                <c:pt idx="7" formatCode="#,##0.00">
                  <c:v>4.9127330000000002</c:v>
                </c:pt>
                <c:pt idx="8" formatCode="#,##0.00">
                  <c:v>5.0640039999999997</c:v>
                </c:pt>
                <c:pt idx="9" formatCode="#,##0.00">
                  <c:v>5.4075090000000001</c:v>
                </c:pt>
                <c:pt idx="10" formatCode="#,##0.00">
                  <c:v>5.2898610000000001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Baggrundsvariable!$C$171:$M$171</c15:f>
                <c15:dlblRangeCache>
                  <c:ptCount val="11"/>
                  <c:pt idx="0">
                    <c:v>10t. 46m.</c:v>
                  </c:pt>
                  <c:pt idx="1">
                    <c:v>4t. 56m.</c:v>
                  </c:pt>
                  <c:pt idx="2">
                    <c:v>4t. 17m.</c:v>
                  </c:pt>
                  <c:pt idx="3">
                    <c:v>3t. 43m.</c:v>
                  </c:pt>
                  <c:pt idx="4">
                    <c:v>3t. 41m.</c:v>
                  </c:pt>
                  <c:pt idx="5">
                    <c:v>3t. 54m.</c:v>
                  </c:pt>
                  <c:pt idx="6">
                    <c:v>4t. 28m.</c:v>
                  </c:pt>
                  <c:pt idx="7">
                    <c:v>4t. 54m.</c:v>
                  </c:pt>
                  <c:pt idx="8">
                    <c:v>5t. 03m.</c:v>
                  </c:pt>
                  <c:pt idx="9">
                    <c:v>5t. 24m.</c:v>
                  </c:pt>
                  <c:pt idx="10">
                    <c:v>5t. 17m.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D-FC5F-49E6-9E5F-9B3ED65FB5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0195832"/>
        <c:axId val="440194848"/>
      </c:lineChart>
      <c:catAx>
        <c:axId val="5948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4818768"/>
        <c:crosses val="autoZero"/>
        <c:auto val="1"/>
        <c:lblAlgn val="ctr"/>
        <c:lblOffset val="100"/>
        <c:noMultiLvlLbl val="0"/>
      </c:catAx>
      <c:valAx>
        <c:axId val="59481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4820736"/>
        <c:crosses val="autoZero"/>
        <c:crossBetween val="between"/>
      </c:valAx>
      <c:valAx>
        <c:axId val="440194848"/>
        <c:scaling>
          <c:orientation val="minMax"/>
          <c:max val="1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Timer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#,##0&quot;&quot;;\-#,##0&quot;&quot;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0195832"/>
        <c:crosses val="max"/>
        <c:crossBetween val="between"/>
      </c:valAx>
      <c:catAx>
        <c:axId val="440195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01948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Baggrundsvariable!$B$163</c:f>
              <c:strCache>
                <c:ptCount val="1"/>
                <c:pt idx="0">
                  <c:v>Forening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DC-400D-B20B-153A08657D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Baggrundsvariable!$C$155:$M$155</c:f>
              <c:strCache>
                <c:ptCount val="11"/>
                <c:pt idx="0">
                  <c:v>0 -                      Værst mulige liv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10 -          Bedst mulige liv</c:v>
                </c:pt>
              </c:strCache>
            </c:strRef>
          </c:cat>
          <c:val>
            <c:numRef>
              <c:f>Baggrundsvariable!$C$163:$M$163</c:f>
              <c:numCache>
                <c:formatCode>General</c:formatCode>
                <c:ptCount val="11"/>
                <c:pt idx="3" formatCode="#,##0&quot;&quot;;\-#,##0&quot;&quot;">
                  <c:v>67.992609999999999</c:v>
                </c:pt>
                <c:pt idx="4" formatCode="#,##0&quot;&quot;;\-#,##0&quot;&quot;">
                  <c:v>59.668460000000003</c:v>
                </c:pt>
                <c:pt idx="5" formatCode="#,##0&quot;&quot;;\-#,##0&quot;&quot;">
                  <c:v>61.057720000000003</c:v>
                </c:pt>
                <c:pt idx="6" formatCode="#,##0&quot;&quot;;\-#,##0&quot;&quot;">
                  <c:v>75.248840000000001</c:v>
                </c:pt>
                <c:pt idx="7" formatCode="#,##0&quot;&quot;;\-#,##0&quot;&quot;">
                  <c:v>74.834419999999994</c:v>
                </c:pt>
                <c:pt idx="8" formatCode="#,##0&quot;&quot;;\-#,##0&quot;&quot;">
                  <c:v>82.327330000000003</c:v>
                </c:pt>
                <c:pt idx="9" formatCode="#,##0&quot;&quot;;\-#,##0&quot;&quot;">
                  <c:v>82.697469999999996</c:v>
                </c:pt>
                <c:pt idx="10" formatCode="#,##0&quot;&quot;;\-#,##0&quot;&quot;">
                  <c:v>77.235389999999995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DC-400D-B20B-153A08657DC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4820736"/>
        <c:axId val="594818768"/>
      </c:lineChart>
      <c:lineChart>
        <c:grouping val="standard"/>
        <c:varyColors val="0"/>
        <c:ser>
          <c:idx val="2"/>
          <c:order val="1"/>
          <c:tx>
            <c:strRef>
              <c:f>Baggrundsvariable!$B$164</c:f>
              <c:strCache>
                <c:ptCount val="1"/>
                <c:pt idx="0">
                  <c:v>Privat</c:v>
                </c:pt>
              </c:strCache>
            </c:strRef>
          </c:tx>
          <c:spPr>
            <a:ln w="28575" cap="rnd">
              <a:solidFill>
                <a:srgbClr val="77A9D6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3.0718569916500058E-2"/>
                  <c:y val="3.72109748531531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DC-400D-B20B-153A08657D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Baggrundsvariable!$C$155:$M$155</c:f>
              <c:strCache>
                <c:ptCount val="11"/>
                <c:pt idx="0">
                  <c:v>0 -                      Værst mulige liv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10 -          Bedst mulige liv</c:v>
                </c:pt>
              </c:strCache>
            </c:strRef>
          </c:cat>
          <c:val>
            <c:numRef>
              <c:f>Baggrundsvariable!$C$164:$M$164</c:f>
              <c:numCache>
                <c:formatCode>General</c:formatCode>
                <c:ptCount val="11"/>
                <c:pt idx="3" formatCode="0">
                  <c:v>28.43</c:v>
                </c:pt>
                <c:pt idx="4" formatCode="0">
                  <c:v>24.099999999999998</c:v>
                </c:pt>
                <c:pt idx="5" formatCode="0">
                  <c:v>27.889999999999997</c:v>
                </c:pt>
                <c:pt idx="6" formatCode="0">
                  <c:v>22.64</c:v>
                </c:pt>
                <c:pt idx="7" formatCode="0">
                  <c:v>23.59</c:v>
                </c:pt>
                <c:pt idx="8" formatCode="0">
                  <c:v>21.51</c:v>
                </c:pt>
                <c:pt idx="9" formatCode="0">
                  <c:v>19.689999999999998</c:v>
                </c:pt>
                <c:pt idx="10" formatCode="0">
                  <c:v>16.61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DC-400D-B20B-153A08657DC2}"/>
            </c:ext>
          </c:extLst>
        </c:ser>
        <c:ser>
          <c:idx val="1"/>
          <c:order val="2"/>
          <c:tx>
            <c:strRef>
              <c:f>Baggrundsvariable!$B$165</c:f>
              <c:strCache>
                <c:ptCount val="1"/>
                <c:pt idx="0">
                  <c:v>SFO/klub</c:v>
                </c:pt>
              </c:strCache>
            </c:strRef>
          </c:tx>
          <c:spPr>
            <a:ln w="28575" cap="rnd">
              <a:solidFill>
                <a:srgbClr val="F7941E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3.0718569916500058E-2"/>
                  <c:y val="-4.1131006213404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DC-400D-B20B-153A08657D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Baggrundsvariable!$C$165:$M$165</c:f>
              <c:numCache>
                <c:formatCode>General</c:formatCode>
                <c:ptCount val="11"/>
                <c:pt idx="3" formatCode="0">
                  <c:v>12.08</c:v>
                </c:pt>
                <c:pt idx="4" formatCode="0">
                  <c:v>18.61</c:v>
                </c:pt>
                <c:pt idx="5" formatCode="0">
                  <c:v>16.29</c:v>
                </c:pt>
                <c:pt idx="6" formatCode="0">
                  <c:v>14.099999999999998</c:v>
                </c:pt>
                <c:pt idx="7" formatCode="0">
                  <c:v>17.77</c:v>
                </c:pt>
                <c:pt idx="8" formatCode="0">
                  <c:v>16.739999999999998</c:v>
                </c:pt>
                <c:pt idx="9" formatCode="0">
                  <c:v>16.600000000000001</c:v>
                </c:pt>
                <c:pt idx="10" formatCode="0">
                  <c:v>18.43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2DC-400D-B20B-153A08657DC2}"/>
            </c:ext>
          </c:extLst>
        </c:ser>
        <c:ser>
          <c:idx val="3"/>
          <c:order val="3"/>
          <c:tx>
            <c:strRef>
              <c:f>Baggrundsvariable!$B$166</c:f>
              <c:strCache>
                <c:ptCount val="1"/>
                <c:pt idx="0">
                  <c:v>Egen hånd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DC-400D-B20B-153A08657D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Baggrundsvariable!$C$166:$M$166</c:f>
              <c:numCache>
                <c:formatCode>General</c:formatCode>
                <c:ptCount val="11"/>
                <c:pt idx="3" formatCode="0">
                  <c:v>75.59</c:v>
                </c:pt>
                <c:pt idx="4" formatCode="0">
                  <c:v>58.26</c:v>
                </c:pt>
                <c:pt idx="5" formatCode="0">
                  <c:v>61.41</c:v>
                </c:pt>
                <c:pt idx="6" formatCode="0">
                  <c:v>70.989999999999995</c:v>
                </c:pt>
                <c:pt idx="7" formatCode="0">
                  <c:v>66.239999999999995</c:v>
                </c:pt>
                <c:pt idx="8" formatCode="0">
                  <c:v>67.650000000000006</c:v>
                </c:pt>
                <c:pt idx="9" formatCode="0">
                  <c:v>65.19</c:v>
                </c:pt>
                <c:pt idx="10" formatCode="0">
                  <c:v>68.87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2DC-400D-B20B-153A08657DC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0195832"/>
        <c:axId val="440194848"/>
        <c:extLst>
          <c:ext xmlns:c15="http://schemas.microsoft.com/office/drawing/2012/chart" uri="{02D57815-91ED-43cb-92C2-25804820EDAC}">
            <c15:filteredLine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Baggrundsvariable!$B$167</c15:sqref>
                        </c15:formulaRef>
                      </c:ext>
                    </c:extLst>
                    <c:strCache>
                      <c:ptCount val="1"/>
                      <c:pt idx="0">
                        <c:v>Andre fællesskaber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da-DK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Baggrundsvariable!$C$167:$M$167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3" formatCode="0">
                        <c:v>0</c:v>
                      </c:pt>
                      <c:pt idx="4" formatCode="0">
                        <c:v>2.91</c:v>
                      </c:pt>
                      <c:pt idx="5" formatCode="0">
                        <c:v>2.52</c:v>
                      </c:pt>
                      <c:pt idx="6" formatCode="0">
                        <c:v>5.28</c:v>
                      </c:pt>
                      <c:pt idx="7" formatCode="0">
                        <c:v>2.33</c:v>
                      </c:pt>
                      <c:pt idx="8" formatCode="0">
                        <c:v>2.3800000000000003</c:v>
                      </c:pt>
                      <c:pt idx="9" formatCode="0">
                        <c:v>3.11</c:v>
                      </c:pt>
                      <c:pt idx="10" formatCode="0">
                        <c:v>1.95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8-72DC-400D-B20B-153A08657DC2}"/>
                  </c:ext>
                </c:extLst>
              </c15:ser>
            </c15:filteredLineSeries>
          </c:ext>
        </c:extLst>
      </c:lineChart>
      <c:catAx>
        <c:axId val="5948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4818768"/>
        <c:crosses val="autoZero"/>
        <c:auto val="1"/>
        <c:lblAlgn val="ctr"/>
        <c:lblOffset val="100"/>
        <c:noMultiLvlLbl val="0"/>
      </c:catAx>
      <c:valAx>
        <c:axId val="5948187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4820736"/>
        <c:crosses val="autoZero"/>
        <c:crossBetween val="between"/>
      </c:valAx>
      <c:valAx>
        <c:axId val="440194848"/>
        <c:scaling>
          <c:orientation val="minMax"/>
          <c:max val="10"/>
          <c:min val="0"/>
        </c:scaling>
        <c:delete val="1"/>
        <c:axPos val="r"/>
        <c:numFmt formatCode="General" sourceLinked="1"/>
        <c:majorTickMark val="out"/>
        <c:minorTickMark val="none"/>
        <c:tickLblPos val="nextTo"/>
        <c:crossAx val="440195832"/>
        <c:crosses val="max"/>
        <c:crossBetween val="between"/>
      </c:valAx>
      <c:catAx>
        <c:axId val="440195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01948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cde9e-c787-4bc0-b74b-62194818c636" xsi:nil="true"/>
    <lcf76f155ced4ddcb4097134ff3c332f xmlns="5164448e-571c-4c94-bec9-a2f1133d01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DEC666D2D724EAC9A04FBF4A53AB9" ma:contentTypeVersion="16" ma:contentTypeDescription="Create a new document." ma:contentTypeScope="" ma:versionID="74b729c9b10255cc1c01331101e10a79">
  <xsd:schema xmlns:xsd="http://www.w3.org/2001/XMLSchema" xmlns:xs="http://www.w3.org/2001/XMLSchema" xmlns:p="http://schemas.microsoft.com/office/2006/metadata/properties" xmlns:ns2="5164448e-571c-4c94-bec9-a2f1133d01f1" xmlns:ns3="9f2cde9e-c787-4bc0-b74b-62194818c636" targetNamespace="http://schemas.microsoft.com/office/2006/metadata/properties" ma:root="true" ma:fieldsID="0234e25348abe52dff70b6aed37650a0" ns2:_="" ns3:_="">
    <xsd:import namespace="5164448e-571c-4c94-bec9-a2f1133d01f1"/>
    <xsd:import namespace="9f2cde9e-c787-4bc0-b74b-62194818c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a65c79-3cd8-458d-93d0-246180cdb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de9e-c787-4bc0-b74b-62194818c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c6e9e-47ec-4b4e-aa19-668d903bdac2}" ma:internalName="TaxCatchAll" ma:showField="CatchAllData" ma:web="9f2cde9e-c787-4bc0-b74b-62194818c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540CA-DC66-4270-8615-69836E69BA39}">
  <ds:schemaRefs>
    <ds:schemaRef ds:uri="http://schemas.microsoft.com/office/2006/metadata/properties"/>
    <ds:schemaRef ds:uri="http://schemas.microsoft.com/office/infopath/2007/PartnerControls"/>
    <ds:schemaRef ds:uri="9f2cde9e-c787-4bc0-b74b-62194818c636"/>
    <ds:schemaRef ds:uri="5164448e-571c-4c94-bec9-a2f1133d01f1"/>
  </ds:schemaRefs>
</ds:datastoreItem>
</file>

<file path=customXml/itemProps2.xml><?xml version="1.0" encoding="utf-8"?>
<ds:datastoreItem xmlns:ds="http://schemas.openxmlformats.org/officeDocument/2006/customXml" ds:itemID="{FA73DCF3-53D9-471D-91D6-4AECBA105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6C5EC-E584-4423-93B8-7D20F1A8C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9f2cde9e-c787-4bc0-b74b-62194818c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6</cp:revision>
  <dcterms:created xsi:type="dcterms:W3CDTF">2022-12-29T11:27:00Z</dcterms:created>
  <dcterms:modified xsi:type="dcterms:W3CDTF">2023-01-05T11:02:00Z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  <property fmtid="{D5CDD505-2E9C-101B-9397-08002B2CF9AE}" pid="3" name="MediaServiceImageTags">
    <vt:lpwstr/>
  </property>
</Properties>
</file>